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erdana8"/>
        <w:rPr/>
      </w:pPr>
      <w:r>
        <w:rPr/>
        <w:t>ПРАВИЛА АКЦИИ</w:t>
      </w:r>
    </w:p>
    <w:p>
      <w:pPr>
        <w:pStyle w:val="Verdana8"/>
        <w:rPr>
          <w:lang w:eastAsia="ru-RU"/>
        </w:rPr>
      </w:pPr>
      <w:r>
        <w:rPr>
          <w:szCs w:val="16"/>
        </w:rPr>
        <w:t>«увеличенная до 5 лет гарантия на насосы NOCE бытового применения</w:t>
      </w:r>
      <w:r>
        <w:rPr>
          <w:lang w:eastAsia="ru-RU"/>
        </w:rPr>
        <w:t>»</w:t>
      </w:r>
    </w:p>
    <w:p>
      <w:pPr>
        <w:pStyle w:val="Verdana8"/>
        <w:rPr>
          <w:lang w:eastAsia="ru-RU"/>
        </w:rPr>
      </w:pPr>
      <w:r>
        <w:rPr>
          <w:lang w:eastAsia="ru-RU"/>
        </w:rPr>
        <w:t>(далее – Акция)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>
          <w:b/>
          <w:bCs/>
        </w:rPr>
        <w:t>Организатор акции</w:t>
      </w:r>
      <w:r>
        <w:rPr/>
        <w:t xml:space="preserve"> – ООО «ВИЛО РУС» (ОГРН 1027739103633) с местом нахождения по адресу: Российская Федерация, 1</w:t>
      </w:r>
      <w:r>
        <w:rPr/>
        <w:t>09012</w:t>
      </w:r>
      <w:r>
        <w:rPr/>
        <w:t xml:space="preserve">, вн.тер.г. муниципальный округ Тверской, ул. Охотный Ряд, д. 2, этаж/пом 10/II, ком/офис 3/2.10. 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>
          <w:b/>
          <w:bCs/>
        </w:rPr>
        <w:t>Территория проведения акции</w:t>
      </w:r>
      <w:r>
        <w:rPr/>
        <w:t xml:space="preserve"> – Российская Федерации.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>
          <w:b/>
          <w:bCs/>
        </w:rPr>
        <w:t>Цель Акции</w:t>
      </w:r>
      <w:r>
        <w:rPr/>
        <w:t xml:space="preserve"> – стимулирование покупок товаров, перечисленных в п.</w:t>
      </w:r>
      <w:r>
        <w:rPr/>
        <w:fldChar w:fldCharType="begin"/>
      </w:r>
      <w:r>
        <w:rPr/>
        <w:instrText xml:space="preserve"> REF _Ref81423598 \r \r \h </w:instrText>
      </w:r>
      <w:r>
        <w:rPr/>
        <w:fldChar w:fldCharType="separate"/>
      </w:r>
      <w:r>
        <w:rPr/>
        <w:t>5</w:t>
      </w:r>
      <w:r>
        <w:rPr/>
        <w:fldChar w:fldCharType="end"/>
      </w:r>
      <w:r>
        <w:rPr/>
        <w:t xml:space="preserve"> настоящих Правил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>
          <w:b/>
          <w:bCs/>
        </w:rPr>
        <w:t>Период проведения Акции</w:t>
      </w:r>
      <w:r>
        <w:rPr/>
        <w:t xml:space="preserve"> – с </w:t>
      </w:r>
      <w:r>
        <w:rPr>
          <w:b/>
          <w:bCs/>
          <w:i/>
          <w:iCs/>
        </w:rPr>
        <w:t>01.04.2026</w:t>
      </w:r>
      <w:r>
        <w:rPr/>
        <w:t xml:space="preserve"> до момента ее отмены Организатором акции и распространяется на все товары марки Native модели NOCE, указанные в пункте 5 настоящих правил, в том числе которые ранее были приобретены в компании ООО "ВИЛО РУС".</w:t>
      </w:r>
    </w:p>
    <w:p>
      <w:pPr>
        <w:pStyle w:val="Style38"/>
        <w:numPr>
          <w:ilvl w:val="0"/>
          <w:numId w:val="3"/>
        </w:numPr>
        <w:ind w:hanging="567" w:start="851"/>
        <w:rPr>
          <w:b/>
          <w:bCs/>
        </w:rPr>
      </w:pPr>
      <w:bookmarkStart w:id="0" w:name="_Ref81423598"/>
      <w:r>
        <w:rPr>
          <w:b/>
          <w:bCs/>
        </w:rPr>
        <w:t>Товары, участвующие в Акции:</w:t>
      </w:r>
      <w:bookmarkEnd w:id="0"/>
    </w:p>
    <w:tbl>
      <w:tblPr>
        <w:tblStyle w:val="afff0"/>
        <w:tblW w:w="5268" w:type="dxa"/>
        <w:jc w:val="start"/>
        <w:tblInd w:w="792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634"/>
        <w:gridCol w:w="2634"/>
      </w:tblGrid>
      <w:tr>
        <w:trPr/>
        <w:tc>
          <w:tcPr>
            <w:tcW w:w="2634" w:type="dxa"/>
            <w:tcBorders>
              <w:end w:val="nil"/>
            </w:tcBorders>
            <w:shd w:color="auto" w:fill="B8CCE4" w:themeFill="accent1" w:themeFillTint="66" w:val="clear"/>
            <w:vAlign w:val="center"/>
          </w:tcPr>
          <w:p>
            <w:pPr>
              <w:pStyle w:val="Style38"/>
              <w:widowControl/>
              <w:numPr>
                <w:ilvl w:val="0"/>
                <w:numId w:val="0"/>
              </w:numPr>
              <w:suppressAutoHyphens w:val="true"/>
              <w:spacing w:before="120" w:after="0"/>
              <w:ind w:hanging="0" w:start="284"/>
              <w:contextualSpacing/>
              <w:rPr>
                <w:rFonts w:eastAsia="Calibri"/>
              </w:rPr>
            </w:pPr>
            <w:r>
              <w:rPr>
                <w:rFonts w:eastAsia="Calibri"/>
                <w:kern w:val="0"/>
                <w:szCs w:val="22"/>
                <w:lang w:val="ru-RU" w:eastAsia="en-US" w:bidi="ar-SA"/>
              </w:rPr>
              <w:t>Модель насоса</w:t>
            </w:r>
          </w:p>
        </w:tc>
        <w:tc>
          <w:tcPr>
            <w:tcW w:w="2634" w:type="dxa"/>
            <w:tcBorders>
              <w:start w:val="nil"/>
            </w:tcBorders>
            <w:shd w:color="auto" w:fill="B8CCE4" w:themeFill="accent1" w:themeFillTint="66" w:val="clear"/>
            <w:vAlign w:val="center"/>
          </w:tcPr>
          <w:p>
            <w:pPr>
              <w:pStyle w:val="Style38"/>
              <w:widowControl/>
              <w:numPr>
                <w:ilvl w:val="0"/>
                <w:numId w:val="0"/>
              </w:numPr>
              <w:suppressAutoHyphens w:val="true"/>
              <w:spacing w:before="120" w:after="0"/>
              <w:ind w:hanging="0" w:start="284"/>
              <w:contextualSpacing/>
              <w:rPr>
                <w:rFonts w:eastAsia="Calibri"/>
              </w:rPr>
            </w:pPr>
            <w:r>
              <w:rPr>
                <w:rFonts w:eastAsia="Calibri"/>
                <w:kern w:val="0"/>
                <w:szCs w:val="22"/>
                <w:lang w:val="ru-RU" w:eastAsia="en-US" w:bidi="ar-SA"/>
              </w:rPr>
              <w:t>Артикул</w:t>
            </w:r>
          </w:p>
        </w:tc>
      </w:tr>
      <w:tr>
        <w:trPr>
          <w:trHeight w:val="472" w:hRule="atLeast"/>
        </w:trPr>
        <w:tc>
          <w:tcPr>
            <w:tcW w:w="2634" w:type="dxa"/>
            <w:tcBorders>
              <w:end w:val="nil"/>
            </w:tcBorders>
          </w:tcPr>
          <w:p>
            <w:pPr>
              <w:pStyle w:val="user2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NOCE 15/1-4-130</w:t>
            </w:r>
          </w:p>
        </w:tc>
        <w:tc>
          <w:tcPr>
            <w:tcW w:w="2634" w:type="dxa"/>
            <w:tcBorders>
              <w:start w:val="nil"/>
            </w:tcBorders>
          </w:tcPr>
          <w:p>
            <w:pPr>
              <w:pStyle w:val="user2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3601334</w:t>
            </w:r>
          </w:p>
        </w:tc>
      </w:tr>
      <w:tr>
        <w:trPr>
          <w:trHeight w:val="472" w:hRule="atLeast"/>
        </w:trPr>
        <w:tc>
          <w:tcPr>
            <w:tcW w:w="2634" w:type="dxa"/>
            <w:tcBorders>
              <w:top w:val="nil"/>
              <w:end w:val="nil"/>
            </w:tcBorders>
          </w:tcPr>
          <w:p>
            <w:pPr>
              <w:pStyle w:val="user2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NOCE 15/1-6-130</w:t>
            </w:r>
          </w:p>
        </w:tc>
        <w:tc>
          <w:tcPr>
            <w:tcW w:w="2634" w:type="dxa"/>
            <w:tcBorders>
              <w:top w:val="nil"/>
              <w:start w:val="nil"/>
            </w:tcBorders>
          </w:tcPr>
          <w:p>
            <w:pPr>
              <w:pStyle w:val="user2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3601335</w:t>
            </w:r>
          </w:p>
        </w:tc>
      </w:tr>
      <w:tr>
        <w:trPr>
          <w:trHeight w:val="472" w:hRule="atLeast"/>
        </w:trPr>
        <w:tc>
          <w:tcPr>
            <w:tcW w:w="2634" w:type="dxa"/>
            <w:tcBorders>
              <w:top w:val="nil"/>
              <w:end w:val="nil"/>
            </w:tcBorders>
          </w:tcPr>
          <w:p>
            <w:pPr>
              <w:pStyle w:val="user2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NOCE 15/1-8-130</w:t>
            </w:r>
          </w:p>
        </w:tc>
        <w:tc>
          <w:tcPr>
            <w:tcW w:w="2634" w:type="dxa"/>
            <w:tcBorders>
              <w:top w:val="nil"/>
              <w:start w:val="nil"/>
            </w:tcBorders>
          </w:tcPr>
          <w:p>
            <w:pPr>
              <w:pStyle w:val="user2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3601336</w:t>
            </w:r>
          </w:p>
        </w:tc>
      </w:tr>
      <w:tr>
        <w:trPr>
          <w:trHeight w:val="472" w:hRule="atLeast"/>
        </w:trPr>
        <w:tc>
          <w:tcPr>
            <w:tcW w:w="2634" w:type="dxa"/>
            <w:tcBorders>
              <w:top w:val="nil"/>
              <w:end w:val="nil"/>
            </w:tcBorders>
          </w:tcPr>
          <w:p>
            <w:pPr>
              <w:pStyle w:val="user2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NOCE 25/1-4</w:t>
            </w:r>
          </w:p>
        </w:tc>
        <w:tc>
          <w:tcPr>
            <w:tcW w:w="2634" w:type="dxa"/>
            <w:tcBorders>
              <w:top w:val="nil"/>
              <w:start w:val="nil"/>
            </w:tcBorders>
          </w:tcPr>
          <w:p>
            <w:pPr>
              <w:pStyle w:val="user2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2479560</w:t>
            </w:r>
          </w:p>
        </w:tc>
      </w:tr>
      <w:tr>
        <w:trPr>
          <w:trHeight w:val="472" w:hRule="atLeast"/>
        </w:trPr>
        <w:tc>
          <w:tcPr>
            <w:tcW w:w="2634" w:type="dxa"/>
            <w:tcBorders>
              <w:top w:val="nil"/>
              <w:end w:val="nil"/>
            </w:tcBorders>
          </w:tcPr>
          <w:p>
            <w:pPr>
              <w:pStyle w:val="user2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NOCE 25/1-4-130</w:t>
            </w:r>
          </w:p>
        </w:tc>
        <w:tc>
          <w:tcPr>
            <w:tcW w:w="2634" w:type="dxa"/>
            <w:tcBorders>
              <w:top w:val="nil"/>
              <w:start w:val="nil"/>
            </w:tcBorders>
          </w:tcPr>
          <w:p>
            <w:pPr>
              <w:pStyle w:val="user2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3601332</w:t>
            </w:r>
          </w:p>
        </w:tc>
      </w:tr>
      <w:tr>
        <w:trPr>
          <w:trHeight w:val="472" w:hRule="atLeast"/>
        </w:trPr>
        <w:tc>
          <w:tcPr>
            <w:tcW w:w="2634" w:type="dxa"/>
            <w:tcBorders>
              <w:top w:val="nil"/>
              <w:end w:val="nil"/>
            </w:tcBorders>
          </w:tcPr>
          <w:p>
            <w:pPr>
              <w:pStyle w:val="user2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NOCE 25/1-6</w:t>
            </w:r>
          </w:p>
        </w:tc>
        <w:tc>
          <w:tcPr>
            <w:tcW w:w="2634" w:type="dxa"/>
            <w:tcBorders>
              <w:top w:val="nil"/>
              <w:start w:val="nil"/>
            </w:tcBorders>
          </w:tcPr>
          <w:p>
            <w:pPr>
              <w:pStyle w:val="user2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2479561</w:t>
            </w:r>
          </w:p>
        </w:tc>
      </w:tr>
      <w:tr>
        <w:trPr>
          <w:trHeight w:val="472" w:hRule="atLeast"/>
        </w:trPr>
        <w:tc>
          <w:tcPr>
            <w:tcW w:w="2634" w:type="dxa"/>
            <w:tcBorders>
              <w:top w:val="nil"/>
              <w:end w:val="nil"/>
            </w:tcBorders>
          </w:tcPr>
          <w:p>
            <w:pPr>
              <w:pStyle w:val="user2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NOCE 25/1-6-130</w:t>
            </w:r>
          </w:p>
        </w:tc>
        <w:tc>
          <w:tcPr>
            <w:tcW w:w="2634" w:type="dxa"/>
            <w:tcBorders>
              <w:top w:val="nil"/>
              <w:start w:val="nil"/>
            </w:tcBorders>
          </w:tcPr>
          <w:p>
            <w:pPr>
              <w:pStyle w:val="user2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3601333</w:t>
            </w:r>
          </w:p>
        </w:tc>
      </w:tr>
      <w:tr>
        <w:trPr>
          <w:trHeight w:val="472" w:hRule="atLeast"/>
        </w:trPr>
        <w:tc>
          <w:tcPr>
            <w:tcW w:w="2634" w:type="dxa"/>
            <w:tcBorders>
              <w:top w:val="nil"/>
              <w:end w:val="nil"/>
            </w:tcBorders>
          </w:tcPr>
          <w:p>
            <w:pPr>
              <w:pStyle w:val="user2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NOCE 25/1-8</w:t>
            </w:r>
          </w:p>
        </w:tc>
        <w:tc>
          <w:tcPr>
            <w:tcW w:w="2634" w:type="dxa"/>
            <w:tcBorders>
              <w:top w:val="nil"/>
              <w:start w:val="nil"/>
            </w:tcBorders>
          </w:tcPr>
          <w:p>
            <w:pPr>
              <w:pStyle w:val="user2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3601269</w:t>
            </w:r>
          </w:p>
        </w:tc>
      </w:tr>
      <w:tr>
        <w:trPr>
          <w:trHeight w:val="472" w:hRule="atLeast"/>
        </w:trPr>
        <w:tc>
          <w:tcPr>
            <w:tcW w:w="2634" w:type="dxa"/>
            <w:tcBorders>
              <w:top w:val="nil"/>
              <w:end w:val="nil"/>
            </w:tcBorders>
          </w:tcPr>
          <w:p>
            <w:pPr>
              <w:pStyle w:val="user2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NOCE 30/1-4</w:t>
            </w:r>
          </w:p>
        </w:tc>
        <w:tc>
          <w:tcPr>
            <w:tcW w:w="2634" w:type="dxa"/>
            <w:tcBorders>
              <w:top w:val="nil"/>
              <w:start w:val="nil"/>
            </w:tcBorders>
          </w:tcPr>
          <w:p>
            <w:pPr>
              <w:pStyle w:val="user2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3601270</w:t>
            </w:r>
          </w:p>
        </w:tc>
      </w:tr>
      <w:tr>
        <w:trPr>
          <w:trHeight w:val="510" w:hRule="atLeast"/>
        </w:trPr>
        <w:tc>
          <w:tcPr>
            <w:tcW w:w="2634" w:type="dxa"/>
            <w:tcBorders>
              <w:end w:val="nil"/>
            </w:tcBorders>
          </w:tcPr>
          <w:p>
            <w:pPr>
              <w:pStyle w:val="user2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NOCE 30/1-6</w:t>
            </w:r>
          </w:p>
        </w:tc>
        <w:tc>
          <w:tcPr>
            <w:tcW w:w="2634" w:type="dxa"/>
            <w:tcBorders>
              <w:start w:val="nil"/>
            </w:tcBorders>
          </w:tcPr>
          <w:p>
            <w:pPr>
              <w:pStyle w:val="user2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3601271</w:t>
            </w:r>
          </w:p>
        </w:tc>
      </w:tr>
      <w:tr>
        <w:trPr>
          <w:trHeight w:val="506" w:hRule="atLeast"/>
        </w:trPr>
        <w:tc>
          <w:tcPr>
            <w:tcW w:w="2634" w:type="dxa"/>
            <w:tcBorders>
              <w:end w:val="nil"/>
            </w:tcBorders>
          </w:tcPr>
          <w:p>
            <w:pPr>
              <w:pStyle w:val="user2"/>
              <w:suppressAutoHyphens w:val="true"/>
              <w:spacing w:before="0" w:after="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NOCE 30/1-8</w:t>
            </w:r>
          </w:p>
        </w:tc>
        <w:tc>
          <w:tcPr>
            <w:tcW w:w="2634" w:type="dxa"/>
            <w:tcBorders>
              <w:start w:val="nil"/>
            </w:tcBorders>
          </w:tcPr>
          <w:p>
            <w:pPr>
              <w:pStyle w:val="user2"/>
              <w:suppressAutoHyphens w:val="true"/>
              <w:spacing w:before="0" w:after="0"/>
              <w:jc w:val="center"/>
              <w:rPr>
                <w:b/>
              </w:rPr>
            </w:pPr>
            <w:r>
              <w:rPr>
                <w:rFonts w:eastAsia="Calibri"/>
                <w:b/>
                <w:kern w:val="0"/>
                <w:szCs w:val="22"/>
                <w:lang w:val="ru-RU" w:eastAsia="en-US" w:bidi="ar-SA"/>
              </w:rPr>
              <w:t>3601272</w:t>
            </w:r>
          </w:p>
        </w:tc>
      </w:tr>
    </w:tbl>
    <w:p>
      <w:pPr>
        <w:pStyle w:val="Style38"/>
        <w:numPr>
          <w:ilvl w:val="0"/>
          <w:numId w:val="3"/>
        </w:numPr>
        <w:ind w:hanging="567" w:start="851"/>
        <w:rPr/>
      </w:pPr>
      <w:r>
        <w:rPr>
          <w:b/>
          <w:bCs/>
        </w:rPr>
        <w:t>Участники Акции:</w:t>
      </w:r>
      <w:r>
        <w:rPr/>
        <w:t xml:space="preserve"> дееспособное физическое лицо, достигшее 18 лет или юридическое лицо, совершившие в Период проведения акции покупку Акционного товара, или ранее. </w:t>
      </w:r>
    </w:p>
    <w:p>
      <w:pPr>
        <w:pStyle w:val="Style38"/>
        <w:numPr>
          <w:ilvl w:val="0"/>
          <w:numId w:val="3"/>
        </w:numPr>
        <w:ind w:hanging="567" w:start="851"/>
        <w:rPr>
          <w:b/>
          <w:bCs/>
        </w:rPr>
      </w:pPr>
      <w:r>
        <w:rPr>
          <w:b/>
          <w:bCs/>
        </w:rPr>
        <w:t>Механика Акции</w:t>
      </w:r>
    </w:p>
    <w:p>
      <w:pPr>
        <w:pStyle w:val="Style38"/>
        <w:numPr>
          <w:ilvl w:val="0"/>
          <w:numId w:val="0"/>
        </w:numPr>
        <w:ind w:hanging="0" w:start="851"/>
        <w:rPr/>
      </w:pPr>
      <w:r>
        <w:rPr/>
        <w:t>При заказе Участником Акции в Период проведения Акции Акционного товара, Участник Акции получает привилегию в форме увеличения гарантийного срока Гарантийного обслуживания на Акционный товар до 5 (пяти) лет.</w:t>
      </w:r>
    </w:p>
    <w:p>
      <w:pPr>
        <w:pStyle w:val="Style38"/>
        <w:numPr>
          <w:ilvl w:val="0"/>
          <w:numId w:val="0"/>
        </w:numPr>
        <w:ind w:hanging="0" w:start="851"/>
        <w:rPr/>
      </w:pPr>
      <w:r>
        <w:rPr/>
        <w:t xml:space="preserve">Пятилетний гарантийный срок исчисляется от даты начала исчисления стандартного срока гарантии согласно </w:t>
      </w:r>
      <w:hyperlink r:id="rId2">
        <w:r>
          <w:rPr>
            <w:rStyle w:val="Hyperlink"/>
          </w:rPr>
          <w:t>Стандартным условиям гарантии</w:t>
        </w:r>
      </w:hyperlink>
      <w:bookmarkStart w:id="1" w:name="_GoBack"/>
      <w:bookmarkEnd w:id="1"/>
      <w:r>
        <w:rPr/>
        <w:t>.</w:t>
      </w:r>
    </w:p>
    <w:p>
      <w:pPr>
        <w:pStyle w:val="Style38"/>
        <w:numPr>
          <w:ilvl w:val="0"/>
          <w:numId w:val="3"/>
        </w:numPr>
        <w:ind w:hanging="567" w:start="851"/>
        <w:rPr>
          <w:b/>
          <w:bCs/>
        </w:rPr>
      </w:pPr>
      <w:r>
        <w:rPr>
          <w:b/>
          <w:bCs/>
        </w:rPr>
        <w:t>Условия получении привилегий, предусмотренных настоящей Акцией:</w:t>
      </w:r>
    </w:p>
    <w:p>
      <w:pPr>
        <w:pStyle w:val="Style40"/>
        <w:numPr>
          <w:ilvl w:val="0"/>
          <w:numId w:val="4"/>
        </w:numPr>
        <w:rPr/>
      </w:pPr>
      <w:r>
        <w:rPr/>
        <w:t>Приобретение Акционного товара в Период проведения Акции или ранее на территории РФ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/>
        <w:t>Привилегии, предусмотренные настоящей Акцией, не подлежат обмену на денежную компенсацию. Участник Акции вправе отказаться от получения привилегий предусмотренных настоящей Акцией, при этом выплата Участнику каких-либо денежных средств при отказе от получения привилегий по Акции не осуществляется.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/>
        <w:t>Участники Акции самостоятельно оплачивают все расходы, которые они понесли или будут вынуждены понести в связи с участием в Акции.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/>
        <w:t>Участие в Акции означает ознакомление и полное согласие Участника акции с настоящими Правилами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/>
        <w:t xml:space="preserve">Организатор Акции вправе в любое время внести изменения в настоящие Правила, принять решение о досрочном прекращении проведения Акции путем публикации в официальных аккаунтах или на сайте Организатора Акции соответствующего сообщения или изменений (дополнений) к настоящим Правилам </w:t>
      </w:r>
      <w:bookmarkStart w:id="2" w:name="_Hlk81423922"/>
      <w:r>
        <w:rPr/>
        <w:t xml:space="preserve">в официальных аккаунтах или на сайте </w:t>
      </w:r>
      <w:bookmarkEnd w:id="2"/>
      <w:r>
        <w:rPr/>
        <w:t>Организатора Акции:</w:t>
      </w:r>
    </w:p>
    <w:p>
      <w:pPr>
        <w:pStyle w:val="Style39"/>
        <w:numPr>
          <w:ilvl w:val="0"/>
          <w:numId w:val="0"/>
        </w:numPr>
        <w:ind w:hanging="0" w:start="792"/>
        <w:rPr/>
      </w:pPr>
      <w:hyperlink r:id="rId3">
        <w:r>
          <w:rPr>
            <w:rStyle w:val="Hyperlink"/>
            <w:lang w:val="en-US"/>
          </w:rPr>
          <w:t>www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wilo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</w:hyperlink>
      <w:r>
        <w:rPr/>
        <w:t xml:space="preserve"> раздел сервис, подраздел «гарантийные обязательства»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/>
        <w:t>Организатор Акции не отвечает за какие-либо последствия ошибок Участника Акции, включая (кроме всего прочего) понесенные последним затраты.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/>
        <w:t>В случае выявления каких-либо ошибок, неправильного понимания, толкования или любой иной спорной ситуации, касающихся в целом всей Акции или любой его части и/или настоящих Правил, решения Организатора являются окончательными.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/>
        <w:t>Настоящие Правила регулируются и толкуются в соответствии с законодательством Российской Федерации. Вопросы, не урегулированные Правилами, подлежат разрешению в соответствии с законодательством Российской Федерации.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/>
        <w:t>В случае возникновения любых споров или разногласий, связанных с исполнением настоящих Правил, Участник и Организатор приложат все усилия для их разрешения путем проведения переговоров между ними. В случае, если споры не будут разрешены путем переговоров, споры подлежат разрешению в суде по месту нахождения Организатора Акции в порядке, установленном действующим законодательством Российской Федерации</w:t>
      </w:r>
    </w:p>
    <w:p>
      <w:pPr>
        <w:pStyle w:val="Style38"/>
        <w:numPr>
          <w:ilvl w:val="0"/>
          <w:numId w:val="3"/>
        </w:numPr>
        <w:ind w:hanging="567" w:start="851"/>
        <w:rPr/>
      </w:pPr>
      <w:r>
        <w:rPr/>
        <w:t>Настоящие Правила вступают в силу для Участника Акции с момента его присоединения к Акции (выполнения Участником Акции условий получения привилегий, предусмотренных Акцией).</w:t>
      </w:r>
    </w:p>
    <w:p>
      <w:pPr>
        <w:pStyle w:val="Style39"/>
        <w:numPr>
          <w:ilvl w:val="0"/>
          <w:numId w:val="0"/>
        </w:numPr>
        <w:ind w:hanging="0" w:start="792"/>
        <w:rPr/>
      </w:pPr>
      <w:r>
        <w:rPr/>
      </w:r>
    </w:p>
    <w:p>
      <w:pPr>
        <w:pStyle w:val="Style39"/>
        <w:numPr>
          <w:ilvl w:val="0"/>
          <w:numId w:val="0"/>
        </w:numPr>
        <w:ind w:hanging="0" w:start="792"/>
        <w:rPr>
          <w:sz w:val="20"/>
          <w:szCs w:val="20"/>
        </w:rPr>
      </w:pPr>
      <w:r>
        <w:rPr/>
        <w:t xml:space="preserve">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426" w:right="707" w:gutter="0" w:header="708" w:top="765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Verdana">
    <w:charset w:val="01" w:characterSet="utf-8"/>
    <w:family w:val="swiss"/>
    <w:pitch w:val="variable"/>
  </w:font>
  <w:font w:name="Cambria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ambria"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Segoe UI">
    <w:charset w:val="01"/>
    <w:family w:val="auto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18361891"/>
    </w:sdtPr>
    <w:sdtContent>
      <w:p>
        <w:pPr>
          <w:pStyle w:val="Footer"/>
          <w:rPr>
            <w:i/>
            <w:i/>
            <w:szCs w:val="16"/>
          </w:rPr>
        </w:pPr>
        <w:r>
          <w:rPr>
            <w:i/>
            <w:szCs w:val="16"/>
          </w:rPr>
        </w:r>
      </w:p>
      <w:p>
        <w:pPr>
          <w:pStyle w:val="Footer"/>
          <w:jc w:val="end"/>
          <w:rPr>
            <w:i/>
            <w:i/>
            <w:szCs w:val="16"/>
          </w:rPr>
        </w:pPr>
        <w:r>
          <w:rPr>
            <w:i/>
            <w:szCs w:val="16"/>
          </w:rPr>
          <w:t xml:space="preserve">Страница </w:t>
        </w:r>
        <w:r>
          <w:rPr>
            <w:b/>
            <w:bCs/>
            <w:i/>
            <w:szCs w:val="16"/>
          </w:rPr>
          <w:fldChar w:fldCharType="begin"/>
        </w:r>
        <w:r>
          <w:rPr>
            <w:i/>
            <w:b/>
            <w:szCs w:val="16"/>
            <w:bCs/>
          </w:rPr>
          <w:instrText xml:space="preserve"> PAGE </w:instrText>
        </w:r>
        <w:r>
          <w:rPr>
            <w:i/>
            <w:b/>
            <w:szCs w:val="16"/>
            <w:bCs/>
          </w:rPr>
          <w:fldChar w:fldCharType="separate"/>
        </w:r>
        <w:r>
          <w:rPr>
            <w:i/>
            <w:b/>
            <w:szCs w:val="16"/>
            <w:bCs/>
          </w:rPr>
          <w:t>2</w:t>
        </w:r>
        <w:r>
          <w:rPr>
            <w:i/>
            <w:b/>
            <w:szCs w:val="16"/>
            <w:bCs/>
          </w:rPr>
          <w:fldChar w:fldCharType="end"/>
        </w:r>
        <w:r>
          <w:rPr>
            <w:i/>
            <w:szCs w:val="16"/>
          </w:rPr>
          <w:t xml:space="preserve"> из </w:t>
        </w:r>
        <w:r>
          <w:rPr>
            <w:b/>
            <w:bCs/>
            <w:i/>
            <w:szCs w:val="16"/>
          </w:rPr>
          <w:fldChar w:fldCharType="begin"/>
        </w:r>
        <w:r>
          <w:rPr>
            <w:i/>
            <w:b/>
            <w:szCs w:val="16"/>
            <w:bCs/>
          </w:rPr>
          <w:instrText xml:space="preserve"> NUMPAGES </w:instrText>
        </w:r>
        <w:r>
          <w:rPr>
            <w:i/>
            <w:b/>
            <w:szCs w:val="16"/>
            <w:bCs/>
          </w:rPr>
          <w:fldChar w:fldCharType="separate"/>
        </w:r>
        <w:r>
          <w:rPr>
            <w:i/>
            <w:b/>
            <w:szCs w:val="16"/>
            <w:bCs/>
          </w:rPr>
          <w:t>2</w:t>
        </w:r>
        <w:r>
          <w:rPr>
            <w:i/>
            <w:b/>
            <w:szCs w:val="16"/>
            <w:bCs/>
          </w:rPr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18361891"/>
    </w:sdtPr>
    <w:sdtContent>
      <w:p>
        <w:pPr>
          <w:pStyle w:val="Footer"/>
          <w:rPr>
            <w:i/>
            <w:i/>
            <w:szCs w:val="16"/>
          </w:rPr>
        </w:pPr>
        <w:r>
          <w:rPr>
            <w:i/>
            <w:szCs w:val="16"/>
          </w:rPr>
        </w:r>
      </w:p>
      <w:p>
        <w:pPr>
          <w:pStyle w:val="Footer"/>
          <w:jc w:val="end"/>
          <w:rPr>
            <w:i/>
            <w:i/>
            <w:szCs w:val="16"/>
          </w:rPr>
        </w:pPr>
        <w:r>
          <w:rPr>
            <w:i/>
            <w:szCs w:val="16"/>
          </w:rPr>
          <w:t xml:space="preserve">Страница </w:t>
        </w:r>
        <w:r>
          <w:rPr>
            <w:b/>
            <w:bCs/>
            <w:i/>
            <w:szCs w:val="16"/>
          </w:rPr>
          <w:fldChar w:fldCharType="begin"/>
        </w:r>
        <w:r>
          <w:rPr>
            <w:i/>
            <w:b/>
            <w:szCs w:val="16"/>
            <w:bCs/>
          </w:rPr>
          <w:instrText xml:space="preserve"> PAGE </w:instrText>
        </w:r>
        <w:r>
          <w:rPr>
            <w:i/>
            <w:b/>
            <w:szCs w:val="16"/>
            <w:bCs/>
          </w:rPr>
          <w:fldChar w:fldCharType="separate"/>
        </w:r>
        <w:r>
          <w:rPr>
            <w:i/>
            <w:b/>
            <w:szCs w:val="16"/>
            <w:bCs/>
          </w:rPr>
          <w:t>2</w:t>
        </w:r>
        <w:r>
          <w:rPr>
            <w:i/>
            <w:b/>
            <w:szCs w:val="16"/>
            <w:bCs/>
          </w:rPr>
          <w:fldChar w:fldCharType="end"/>
        </w:r>
        <w:r>
          <w:rPr>
            <w:i/>
            <w:szCs w:val="16"/>
          </w:rPr>
          <w:t xml:space="preserve"> из </w:t>
        </w:r>
        <w:r>
          <w:rPr>
            <w:b/>
            <w:bCs/>
            <w:i/>
            <w:szCs w:val="16"/>
          </w:rPr>
          <w:fldChar w:fldCharType="begin"/>
        </w:r>
        <w:r>
          <w:rPr>
            <w:i/>
            <w:b/>
            <w:szCs w:val="16"/>
            <w:bCs/>
          </w:rPr>
          <w:instrText xml:space="preserve"> NUMPAGES </w:instrText>
        </w:r>
        <w:r>
          <w:rPr>
            <w:i/>
            <w:b/>
            <w:szCs w:val="16"/>
            <w:bCs/>
          </w:rPr>
          <w:fldChar w:fldCharType="separate"/>
        </w:r>
        <w:r>
          <w:rPr>
            <w:i/>
            <w:b/>
            <w:szCs w:val="16"/>
            <w:bCs/>
          </w:rPr>
          <w:t>2</w:t>
        </w:r>
        <w:r>
          <w:rPr>
            <w:i/>
            <w:b/>
            <w:szCs w:val="16"/>
            <w:bCs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lang w:val="en-US"/>
      </w:rPr>
    </w:pPr>
    <w:r>
      <w:rPr>
        <w:lang w:val="en-US"/>
      </w:rPr>
      <w:t>Ver. 2.0. 01/04/2026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lang w:val="en-US"/>
      </w:rPr>
    </w:pPr>
    <w:r>
      <w:rPr>
        <w:lang w:val="en-US"/>
      </w:rPr>
      <w:t>Ver. 2.0. 01/04/2026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Статья %1. "/>
      <w:lvlJc w:val="start"/>
      <w:pPr>
        <w:tabs>
          <w:tab w:val="num" w:pos="0"/>
        </w:tabs>
        <w:ind w:start="4614" w:hanging="360"/>
      </w:pPr>
      <w:rPr>
        <w:sz w:val="16"/>
        <w:i w:val="false"/>
        <w:b/>
        <w:rFonts w:ascii="Segoe UI" w:hAnsi="Segoe UI"/>
      </w:rPr>
    </w:lvl>
    <w:lvl w:ilvl="1">
      <w:start w:val="1"/>
      <w:numFmt w:val="decimal"/>
      <w:lvlText w:val="%1.%2. "/>
      <w:lvlJc w:val="start"/>
      <w:pPr>
        <w:tabs>
          <w:tab w:val="num" w:pos="0"/>
        </w:tabs>
        <w:ind w:start="1495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 "/>
      <w:lvlJc w:val="start"/>
      <w:pPr>
        <w:tabs>
          <w:tab w:val="num" w:pos="0"/>
        </w:tabs>
        <w:ind w:start="1212" w:hanging="360"/>
      </w:pPr>
      <w:rPr>
        <w:sz w:val="16"/>
        <w:i w:val="false"/>
        <w:b/>
        <w:rFonts w:ascii="Segoe UI" w:hAnsi="Segoe UI"/>
      </w:rPr>
    </w:lvl>
    <w:lvl w:ilvl="3">
      <w:start w:val="1"/>
      <w:numFmt w:val="decimal"/>
      <w:lvlText w:val="%1.%2.%3.%4. "/>
      <w:lvlJc w:val="start"/>
      <w:pPr>
        <w:tabs>
          <w:tab w:val="num" w:pos="0"/>
        </w:tabs>
        <w:ind w:start="1440" w:hanging="360"/>
      </w:pPr>
      <w:rPr>
        <w:sz w:val="16"/>
        <w:i w:val="false"/>
        <w:b/>
        <w:rFonts w:ascii="Segoe UI" w:hAnsi="Segoe UI"/>
      </w:rPr>
    </w:lvl>
    <w:lvl w:ilvl="4">
      <w:start w:val="1"/>
      <w:numFmt w:val="lowerRoman"/>
      <w:lvlText w:val="(%5)"/>
      <w:lvlJc w:val="start"/>
      <w:pPr>
        <w:tabs>
          <w:tab w:val="num" w:pos="0"/>
        </w:tabs>
        <w:ind w:start="1800" w:hanging="360"/>
      </w:pPr>
      <w:rPr>
        <w:sz w:val="16"/>
        <w:i w:val="false"/>
        <w:b/>
        <w:rFonts w:ascii="Segoe UI" w:hAnsi="Segoe UI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2160" w:hanging="360"/>
      </w:pPr>
      <w:rPr>
        <w:rFonts w:ascii="Segoe UI" w:hAnsi="Segoe UI" w:cs="Segoe UI" w:hint="default"/>
        <w:sz w:val="16"/>
        <w:i w:val="false"/>
        <w:b/>
        <w:color w:val="auto"/>
      </w:rPr>
    </w:lvl>
    <w:lvl w:ilvl="6">
      <w:start w:val="1"/>
      <w:numFmt w:val="decimal"/>
      <w:lvlText w:val="Приложение %7. "/>
      <w:lvlJc w:val="start"/>
      <w:pPr>
        <w:tabs>
          <w:tab w:val="num" w:pos="0"/>
        </w:tabs>
        <w:ind w:start="2520" w:hanging="360"/>
      </w:pPr>
      <w:rPr>
        <w:sz w:val="16"/>
        <w:i w:val="false"/>
        <w:b/>
        <w:rFonts w:ascii="Segoe UI" w:hAnsi="Segoe UI"/>
        <w:color w:val="auto"/>
      </w:r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2880" w:hanging="360"/>
      </w:pPr>
      <w:rPr>
        <w:sz w:val="16"/>
        <w:i w:val="false"/>
        <w:b/>
        <w:rFonts w:ascii="Segoe UI" w:hAnsi="Segoe UI"/>
      </w:rPr>
    </w:lvl>
    <w:lvl w:ilvl="8">
      <w:start w:val="1"/>
      <w:numFmt w:val="upperRoman"/>
      <w:lvlText w:val="%9"/>
      <w:lvlJc w:val="start"/>
      <w:pPr>
        <w:tabs>
          <w:tab w:val="num" w:pos="0"/>
        </w:tabs>
        <w:ind w:start="3240" w:hanging="360"/>
      </w:pPr>
      <w:rPr>
        <w:sz w:val="16"/>
        <w:i w:val="false"/>
        <w:b/>
        <w:color w:val="auto"/>
      </w:rPr>
    </w:lvl>
  </w:abstractNum>
  <w:abstractNum w:abstractNumId="2">
    <w:lvl w:ilvl="0">
      <w:start w:val="1"/>
      <w:numFmt w:val="decimal"/>
      <w:lvlText w:val="Приложение %1.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720" w:hanging="360"/>
      </w:pPr>
      <w:rPr/>
    </w:lvl>
    <w:lvl w:ilvl="2">
      <w:start w:val="1"/>
      <w:numFmt w:val="lowerRoman"/>
      <w:lvlText w:val="%3)"/>
      <w:lvlJc w:val="start"/>
      <w:pPr>
        <w:tabs>
          <w:tab w:val="num" w:pos="0"/>
        </w:tabs>
        <w:ind w:start="1080" w:hanging="360"/>
      </w:pPr>
      <w:rPr/>
    </w:lvl>
    <w:lvl w:ilvl="3">
      <w:start w:val="1"/>
      <w:numFmt w:val="decimal"/>
      <w:lvlText w:val="(%4)"/>
      <w:lvlJc w:val="start"/>
      <w:pPr>
        <w:tabs>
          <w:tab w:val="num" w:pos="0"/>
        </w:tabs>
        <w:ind w:start="1440" w:hanging="360"/>
      </w:pPr>
      <w:rPr/>
    </w:lvl>
    <w:lvl w:ilvl="4">
      <w:start w:val="1"/>
      <w:numFmt w:val="lowerLetter"/>
      <w:lvlText w:val="(%5)"/>
      <w:lvlJc w:val="start"/>
      <w:pPr>
        <w:tabs>
          <w:tab w:val="num" w:pos="0"/>
        </w:tabs>
        <w:ind w:start="1800" w:hanging="360"/>
      </w:pPr>
      <w:rPr/>
    </w:lvl>
    <w:lvl w:ilvl="5">
      <w:start w:val="1"/>
      <w:numFmt w:val="lowerRoman"/>
      <w:lvlText w:val="(%6)"/>
      <w:lvlJc w:val="start"/>
      <w:pPr>
        <w:tabs>
          <w:tab w:val="num" w:pos="0"/>
        </w:tabs>
        <w:ind w:start="216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52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2880" w:hanging="360"/>
      </w:pPr>
      <w:rPr/>
    </w:lvl>
    <w:lvl w:ilvl="8">
      <w:start w:val="1"/>
      <w:numFmt w:val="decimal"/>
      <w:lvlText w:val="Приложение %9."/>
      <w:lvlJc w:val="start"/>
      <w:pPr>
        <w:tabs>
          <w:tab w:val="num" w:pos="0"/>
        </w:tabs>
        <w:ind w:start="324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792" w:hanging="432"/>
      </w:pPr>
      <w:rPr>
        <w:b/>
        <w:bCs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5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9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6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1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27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trackedChanges" w:enforcement="0" w:cryptProviderType="rsaAES" w:cryptAlgorithmClass="hash" w:cryptAlgorithmType="typeAny" w:cryptAlgorithmSid="" w:cryptSpinCount="0" w:hash="" w:salt=""/>
  <w:themeFontLang w:val="ru-RU" w:eastAsia="" w:bidi=""/>
  <w:docVars>
    <w:docVar w:name="__Grammarly_42____i" w:val="H4sIAAAAAAAEAKtWckksSQxILCpxzi/NK1GyMqwFAAEhoTITAAAA"/>
    <w:docVar w:name="__Grammarly_42___1" w:val="H4sIAAAAAAAEAKtWcslP9kxRslIyNDa0tDQ3srSwNLEwMrU0MzNS0lEKTi0uzszPAymwrAUAqaENQy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026cb"/>
    <w:pPr>
      <w:widowControl/>
      <w:suppressAutoHyphens w:val="true"/>
      <w:bidi w:val="0"/>
      <w:spacing w:lineRule="auto" w:line="360" w:before="0" w:after="0"/>
      <w:jc w:val="both"/>
    </w:pPr>
    <w:rPr>
      <w:rFonts w:ascii="Verdana" w:hAnsi="Verdana" w:cs="Segoe UI" w:eastAsia="Calibri" w:eastAsiaTheme="minorHAnsi"/>
      <w:color w:val="auto"/>
      <w:kern w:val="0"/>
      <w:sz w:val="16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e0364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26049b"/>
    <w:rPr>
      <w:rFonts w:ascii="Segoe UI" w:hAnsi="Segoe UI" w:cs="Segoe UI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6049b"/>
    <w:rPr>
      <w:rFonts w:ascii="Segoe UI" w:hAnsi="Segoe UI" w:cs="Segoe UI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c47a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52398"/>
    <w:rPr>
      <w:sz w:val="16"/>
      <w:szCs w:val="16"/>
    </w:rPr>
  </w:style>
  <w:style w:type="character" w:styleId="Style16" w:customStyle="1">
    <w:name w:val="Текст примечания Знак"/>
    <w:basedOn w:val="DefaultParagraphFont"/>
    <w:uiPriority w:val="99"/>
    <w:qFormat/>
    <w:rsid w:val="00552398"/>
    <w:rPr>
      <w:rFonts w:ascii="Segoe UI" w:hAnsi="Segoe UI" w:cs="Segoe UI"/>
      <w:sz w:val="20"/>
      <w:szCs w:val="20"/>
    </w:rPr>
  </w:style>
  <w:style w:type="character" w:styleId="Style17" w:customStyle="1">
    <w:name w:val="Тема примечания Знак"/>
    <w:basedOn w:val="Style16"/>
    <w:link w:val="annotationsubject"/>
    <w:uiPriority w:val="99"/>
    <w:semiHidden/>
    <w:qFormat/>
    <w:rsid w:val="00552398"/>
    <w:rPr>
      <w:rFonts w:ascii="Segoe UI" w:hAnsi="Segoe UI" w:cs="Segoe UI"/>
      <w:b/>
      <w:bCs/>
      <w:sz w:val="20"/>
      <w:szCs w:val="20"/>
    </w:rPr>
  </w:style>
  <w:style w:type="character" w:styleId="Style18" w:customStyle="1">
    <w:name w:val="Текст сноски Знак"/>
    <w:basedOn w:val="DefaultParagraphFont"/>
    <w:uiPriority w:val="99"/>
    <w:semiHidden/>
    <w:qFormat/>
    <w:rsid w:val="0098340f"/>
    <w:rPr>
      <w:rFonts w:ascii="Segoe UI" w:hAnsi="Segoe UI" w:cs="Segoe UI"/>
      <w:sz w:val="20"/>
      <w:szCs w:val="20"/>
    </w:rPr>
  </w:style>
  <w:style w:type="character" w:styleId="user" w:customStyle="1">
    <w:name w:val="Символ сноски (user)"/>
    <w:uiPriority w:val="99"/>
    <w:semiHidden/>
    <w:unhideWhenUsed/>
    <w:qFormat/>
    <w:rsid w:val="0098340f"/>
    <w:rPr>
      <w:vertAlign w:val="superscript"/>
    </w:rPr>
  </w:style>
  <w:style w:type="character" w:styleId="Style19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2503d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e0364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Style20" w:customStyle="1">
    <w:name w:val="ТЕРМИН Знак"/>
    <w:basedOn w:val="DefaultParagraphFont"/>
    <w:link w:val="Style37"/>
    <w:qFormat/>
    <w:rsid w:val="00586105"/>
    <w:rPr>
      <w:rFonts w:ascii="Verdana" w:hAnsi="Verdana" w:cs="Segoe UI"/>
      <w:sz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414109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421d22"/>
    <w:rPr>
      <w:color w:themeColor="followedHyperlink" w:val="800080"/>
      <w:u w:val="single"/>
    </w:rPr>
  </w:style>
  <w:style w:type="paragraph" w:styleId="Style21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qFormat/>
    <w:rsid w:val="00696d84"/>
    <w:pPr>
      <w:spacing w:before="0" w:after="0"/>
      <w:ind w:start="720"/>
      <w:contextualSpacing/>
    </w:pPr>
    <w:rPr/>
  </w:style>
  <w:style w:type="paragraph" w:styleId="Style23" w:customStyle="1">
    <w:name w:val="СТАТЬЯ ДОГОВОРА"/>
    <w:basedOn w:val="ListParagraph"/>
    <w:qFormat/>
    <w:rsid w:val="00380e94"/>
    <w:pPr>
      <w:numPr>
        <w:ilvl w:val="0"/>
        <w:numId w:val="1"/>
      </w:numPr>
      <w:spacing w:before="120" w:after="120"/>
      <w:ind w:hanging="357" w:start="357"/>
      <w:contextualSpacing/>
      <w:jc w:val="center"/>
      <w:outlineLvl w:val="0"/>
    </w:pPr>
    <w:rPr>
      <w:b/>
    </w:rPr>
  </w:style>
  <w:style w:type="paragraph" w:styleId="Style24" w:customStyle="1">
    <w:name w:val="ЗАГОЛОВОК ДОГОВОРА"/>
    <w:basedOn w:val="Normal"/>
    <w:qFormat/>
    <w:rsid w:val="007a3321"/>
    <w:pPr>
      <w:jc w:val="center"/>
    </w:pPr>
    <w:rPr>
      <w:b/>
    </w:rPr>
  </w:style>
  <w:style w:type="paragraph" w:styleId="Style25" w:customStyle="1">
    <w:name w:val="ПУНКТ ДОГОВОРА"/>
    <w:basedOn w:val="Style23"/>
    <w:qFormat/>
    <w:rsid w:val="00f632fe"/>
    <w:pPr>
      <w:spacing w:before="60" w:after="60"/>
      <w:ind w:hanging="567" w:start="851"/>
      <w:contextualSpacing/>
      <w:jc w:val="both"/>
      <w:outlineLvl w:val="1"/>
    </w:pPr>
    <w:rPr>
      <w:b w:val="false"/>
      <w:szCs w:val="16"/>
    </w:rPr>
  </w:style>
  <w:style w:type="paragraph" w:styleId="Style26" w:customStyle="1">
    <w:name w:val="ПРЕАМБУЛА"/>
    <w:qFormat/>
    <w:rsid w:val="00c05838"/>
    <w:pPr>
      <w:widowControl/>
      <w:suppressAutoHyphens w:val="true"/>
      <w:bidi w:val="0"/>
      <w:spacing w:lineRule="auto" w:line="276" w:before="0" w:after="200"/>
      <w:ind w:hanging="357" w:start="357"/>
      <w:jc w:val="center"/>
      <w:outlineLvl w:val="0"/>
    </w:pPr>
    <w:rPr>
      <w:rFonts w:ascii="Verdana" w:hAnsi="Verdana" w:cs="Segoe UI" w:eastAsia="Calibri" w:eastAsiaTheme="minorHAnsi"/>
      <w:b/>
      <w:color w:val="auto"/>
      <w:kern w:val="0"/>
      <w:sz w:val="16"/>
      <w:szCs w:val="16"/>
      <w:lang w:val="ru-RU" w:eastAsia="en-US" w:bidi="ar-SA"/>
    </w:rPr>
  </w:style>
  <w:style w:type="paragraph" w:styleId="Style27" w:customStyle="1">
    <w:name w:val="ПОДПУНКТ ДОГОВОРА"/>
    <w:basedOn w:val="Style25"/>
    <w:qFormat/>
    <w:rsid w:val="00f632fe"/>
    <w:pPr>
      <w:ind w:start="1287"/>
      <w:outlineLvl w:val="2"/>
    </w:pPr>
    <w:rPr/>
  </w:style>
  <w:style w:type="paragraph" w:styleId="Style28" w:customStyle="1">
    <w:name w:val="ПРИЛОЖЕНИЕ"/>
    <w:basedOn w:val="Style26"/>
    <w:qFormat/>
    <w:rsid w:val="0017200f"/>
    <w:pPr>
      <w:pageBreakBefore/>
      <w:numPr>
        <w:ilvl w:val="0"/>
        <w:numId w:val="2"/>
      </w:numPr>
      <w:ind w:hanging="357" w:start="357"/>
      <w:jc w:val="end"/>
      <w:outlineLvl w:val="1"/>
    </w:pPr>
    <w:rPr>
      <w:b w:val="false"/>
      <w:sz w:val="14"/>
    </w:rPr>
  </w:style>
  <w:style w:type="paragraph" w:styleId="I" w:customStyle="1">
    <w:name w:val="СПИСОК (I)"/>
    <w:basedOn w:val="Style27"/>
    <w:qFormat/>
    <w:rsid w:val="00d54015"/>
    <w:pPr/>
    <w:rPr/>
  </w:style>
  <w:style w:type="paragraph" w:styleId="Style29" w:customStyle="1">
    <w:name w:val="СПИСОК С МАРКЕРОМ"/>
    <w:basedOn w:val="Style27"/>
    <w:qFormat/>
    <w:rsid w:val="005f21ad"/>
    <w:pPr/>
    <w:rPr/>
  </w:style>
  <w:style w:type="paragraph" w:styleId="user1" w:customStyle="1">
    <w:name w:val="Колонтитулы (user)"/>
    <w:basedOn w:val="Normal"/>
    <w:qFormat/>
    <w:pPr/>
    <w:rPr/>
  </w:style>
  <w:style w:type="paragraph" w:styleId="Style30" w:customStyle="1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26049b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unhideWhenUsed/>
    <w:rsid w:val="0026049b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1" w:customStyle="1">
    <w:name w:val="МАРКЕРЫ БОЛЬШИЕ"/>
    <w:basedOn w:val="Style26"/>
    <w:qFormat/>
    <w:rsid w:val="00c05838"/>
    <w:pPr>
      <w:numPr>
        <w:ilvl w:val="8"/>
        <w:numId w:val="1"/>
      </w:numPr>
      <w:spacing w:lineRule="auto" w:line="360" w:before="0" w:after="0"/>
      <w:contextualSpacing/>
      <w:jc w:val="both"/>
      <w:outlineLvl w:val="1"/>
    </w:pPr>
    <w:rPr>
      <w:b w:val="false"/>
    </w:rPr>
  </w:style>
  <w:style w:type="paragraph" w:styleId="II" w:customStyle="1">
    <w:name w:val="СПИСОК II"/>
    <w:basedOn w:val="Style31"/>
    <w:qFormat/>
    <w:rsid w:val="00a00a6f"/>
    <w:pPr>
      <w:ind w:start="1276"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47a7d"/>
    <w:pPr/>
    <w:rPr>
      <w:rFonts w:ascii="Tahoma" w:hAnsi="Tahoma" w:cs="Tahoma"/>
      <w:szCs w:val="16"/>
    </w:rPr>
  </w:style>
  <w:style w:type="paragraph" w:styleId="CommentText">
    <w:name w:val="annotation text"/>
    <w:basedOn w:val="Normal"/>
    <w:link w:val="Style16"/>
    <w:uiPriority w:val="99"/>
    <w:unhideWhenUsed/>
    <w:rsid w:val="0055239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7"/>
    <w:uiPriority w:val="99"/>
    <w:semiHidden/>
    <w:unhideWhenUsed/>
    <w:qFormat/>
    <w:rsid w:val="00552398"/>
    <w:pPr/>
    <w:rPr>
      <w:b/>
      <w:bCs/>
    </w:rPr>
  </w:style>
  <w:style w:type="paragraph" w:styleId="FootnoteText">
    <w:name w:val="footnote text"/>
    <w:basedOn w:val="Normal"/>
    <w:link w:val="Style18"/>
    <w:uiPriority w:val="99"/>
    <w:semiHidden/>
    <w:unhideWhenUsed/>
    <w:rsid w:val="0098340f"/>
    <w:pPr/>
    <w:rPr>
      <w:sz w:val="20"/>
      <w:szCs w:val="20"/>
    </w:rPr>
  </w:style>
  <w:style w:type="paragraph" w:styleId="Verdana8" w:customStyle="1">
    <w:name w:val="Стиль ЗАГОЛОВОК ДОГОВОРА + (латиница) Verdana 8 пт"/>
    <w:basedOn w:val="Style24"/>
    <w:qFormat/>
    <w:rsid w:val="002c0866"/>
    <w:pPr>
      <w:outlineLvl w:val="0"/>
    </w:pPr>
    <w:rPr>
      <w:bCs/>
    </w:rPr>
  </w:style>
  <w:style w:type="paragraph" w:styleId="063" w:customStyle="1">
    <w:name w:val="Стиль СТАТЬЯ ДОГОВОРА + По ширине Слева:  063 см Первая строка: ..."/>
    <w:basedOn w:val="Style23"/>
    <w:autoRedefine/>
    <w:qFormat/>
    <w:rsid w:val="00f632fe"/>
    <w:pPr>
      <w:spacing w:lineRule="auto" w:line="480"/>
      <w:ind w:hanging="0"/>
    </w:pPr>
    <w:rPr>
      <w:rFonts w:eastAsia="Times New Roman" w:cs="Times New Roman"/>
      <w:bCs/>
      <w:szCs w:val="20"/>
    </w:rPr>
  </w:style>
  <w:style w:type="paragraph" w:styleId="Style32" w:customStyle="1">
    <w:name w:val="Стиль ПУНКТ ДОГОВОРА + курсив"/>
    <w:basedOn w:val="Style25"/>
    <w:autoRedefine/>
    <w:qFormat/>
    <w:rsid w:val="008e2e9a"/>
    <w:pPr/>
    <w:rPr>
      <w:i/>
      <w:iCs/>
    </w:rPr>
  </w:style>
  <w:style w:type="paragraph" w:styleId="Style33" w:customStyle="1">
    <w:name w:val="ПЕРЕЧЕНЬ ПРИЛОЖЕНИЙ"/>
    <w:basedOn w:val="Style25"/>
    <w:qFormat/>
    <w:rsid w:val="00111904"/>
    <w:pPr>
      <w:ind w:hanging="0" w:start="1418"/>
      <w:outlineLvl w:val="2"/>
    </w:pPr>
    <w:rPr>
      <w:rFonts w:eastAsia="Times New Roman" w:cs="Times New Roman"/>
      <w:szCs w:val="20"/>
    </w:rPr>
  </w:style>
  <w:style w:type="paragraph" w:styleId="Style34" w:customStyle="1">
    <w:name w:val="ПЕРЕЧЕНЬ  ПРИЛОЖЕНИЙ"/>
    <w:qFormat/>
    <w:rsid w:val="00111904"/>
    <w:pPr>
      <w:widowControl/>
      <w:suppressAutoHyphens w:val="true"/>
      <w:bidi w:val="0"/>
      <w:spacing w:lineRule="auto" w:line="276" w:before="0" w:after="200"/>
      <w:ind w:start="1418"/>
      <w:jc w:val="start"/>
      <w:outlineLvl w:val="2"/>
    </w:pPr>
    <w:rPr>
      <w:rFonts w:ascii="Verdana" w:hAnsi="Verdana" w:eastAsia="Times New Roman" w:cs="Times New Roman"/>
      <w:color w:val="auto"/>
      <w:kern w:val="0"/>
      <w:sz w:val="16"/>
      <w:szCs w:val="20"/>
      <w:lang w:val="ru-RU" w:eastAsia="en-US" w:bidi="ar-SA"/>
    </w:rPr>
  </w:style>
  <w:style w:type="paragraph" w:styleId="Style35" w:customStyle="1">
    <w:name w:val="Стиль ПУНКТ ДОГОВОРА (для понятий и определений)"/>
    <w:basedOn w:val="Style25"/>
    <w:qFormat/>
    <w:rsid w:val="001e5d23"/>
    <w:pPr/>
    <w:rPr>
      <w:b/>
      <w:bCs/>
    </w:rPr>
  </w:style>
  <w:style w:type="paragraph" w:styleId="Style36" w:customStyle="1">
    <w:name w:val="Стиль ПУНКТ ДОГОВОРА (для понятий договора)"/>
    <w:basedOn w:val="Style25"/>
    <w:qFormat/>
    <w:rsid w:val="001e5d23"/>
    <w:pPr/>
    <w:rPr>
      <w:b/>
      <w:bCs/>
    </w:rPr>
  </w:style>
  <w:style w:type="paragraph" w:styleId="Style37" w:customStyle="1">
    <w:name w:val="ТЕРМИН"/>
    <w:basedOn w:val="Normal"/>
    <w:link w:val="Style20"/>
    <w:qFormat/>
    <w:rsid w:val="00586105"/>
    <w:pPr>
      <w:ind w:start="113"/>
      <w:outlineLvl w:val="1"/>
    </w:pPr>
    <w:rPr/>
  </w:style>
  <w:style w:type="paragraph" w:styleId="Style38" w:customStyle="1">
    <w:name w:val="ПУНКТЫ ПРАВИЛА"/>
    <w:basedOn w:val="ListParagraph"/>
    <w:qFormat/>
    <w:rsid w:val="0084574e"/>
    <w:pPr>
      <w:numPr>
        <w:ilvl w:val="0"/>
        <w:numId w:val="3"/>
      </w:numPr>
      <w:spacing w:before="120" w:after="0"/>
      <w:ind w:hanging="567" w:start="851"/>
      <w:contextualSpacing/>
      <w:outlineLvl w:val="0"/>
    </w:pPr>
    <w:rPr/>
  </w:style>
  <w:style w:type="paragraph" w:styleId="Style39" w:customStyle="1">
    <w:name w:val="ПОДПУНКТ ПРАВИЛА"/>
    <w:basedOn w:val="Style38"/>
    <w:qFormat/>
    <w:rsid w:val="00f6151f"/>
    <w:pPr/>
    <w:rPr/>
  </w:style>
  <w:style w:type="paragraph" w:styleId="Style40" w:customStyle="1">
    <w:name w:val="МАРКЕР АКЦИЯ"/>
    <w:basedOn w:val="Style38"/>
    <w:qFormat/>
    <w:rsid w:val="00f6151f"/>
    <w:pPr>
      <w:numPr>
        <w:ilvl w:val="0"/>
        <w:numId w:val="4"/>
      </w:numPr>
    </w:pPr>
    <w:rPr/>
  </w:style>
  <w:style w:type="paragraph" w:styleId="user2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 w:customStyle="1">
    <w:name w:val="Заголовок таблицы (user)"/>
    <w:basedOn w:val="user2"/>
    <w:qFormat/>
    <w:pPr>
      <w:jc w:val="center"/>
    </w:pPr>
    <w:rPr>
      <w:b/>
      <w:bCs/>
    </w:rPr>
  </w:style>
  <w:style w:type="numbering" w:styleId="Style41" w:default="1">
    <w:name w:val="Без списка"/>
    <w:uiPriority w:val="99"/>
    <w:semiHidden/>
    <w:unhideWhenUsed/>
    <w:qFormat/>
  </w:style>
  <w:style w:type="numbering" w:styleId="user4" w:customStyle="1">
    <w:name w:val="Без списка (user)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6"/>
    <w:uiPriority w:val="59"/>
    <w:rsid w:val="006015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6"/>
    <w:uiPriority w:val="59"/>
    <w:rsid w:val="004f4b0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6"/>
    <w:uiPriority w:val="59"/>
    <w:rsid w:val="00457b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ilo.ru/&#1057;&#1077;&#1088;&#1074;&#1080;&#1089;/&#1043;&#1072;&#1088;&#1072;&#1085;&#1090;&#1080;&#1103;%20&#1080;%20&#1091;&#1089;&#1083;&#1086;&#1074;&#1080;&#1103;%20&#1087;&#1088;&#1086;&#1076;&#1083;&#1077;&#1085;&#1080;&#1103;/&#1043;&#1072;&#1088;&#1072;&#1085;&#1090;&#1080;&#1081;&#1085;&#1099;&#1077;%20&#1086;&#1073;&#1103;&#1079;&#1072;&#1090;&#1077;&#1083;&#1100;&#1089;&#1090;&#1074;&#1072;%20&#1042;&#1048;&#1051;&#1054;%20&#1056;&#1059;&#1057;/" TargetMode="External"/><Relationship Id="rId3" Type="http://schemas.openxmlformats.org/officeDocument/2006/relationships/hyperlink" Target="http://www.wilo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DCF33-645F-411A-88A0-0F5320AF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LibreOffice/25.8.3.2$Linux_X86_64 LibreOffice_project/8ca8d55c161d602844f5428fa4b58097424e324e</Application>
  <AppVersion>15.0000</AppVersion>
  <Pages>2</Pages>
  <Words>512</Words>
  <Characters>3358</Characters>
  <CharactersWithSpaces>3808</CharactersWithSpaces>
  <Paragraphs>53</Paragraphs>
  <Company>NORAUTO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2026-03-23T07:18:00Z</dcterms:created>
  <dc:creator>Roman KUZNETSOV</dc:creator>
  <dc:description/>
  <dc:language>ru-RU</dc:language>
  <cp:lastModifiedBy/>
  <cp:lastPrinted>2019-04-15T14:10:00Z</cp:lastPrinted>
  <dcterms:modified xsi:type="dcterms:W3CDTF">2026-03-24T11:56:34Z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